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4B8D0EDA"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9A0EDF">
        <w:t xml:space="preserve">July </w:t>
      </w:r>
      <w:r w:rsidR="00D84133">
        <w:t>31</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115190">
        <w:t>August 7</w:t>
      </w:r>
      <w:r w:rsidR="00760079" w:rsidRPr="00EC6E47">
        <w:t>, 202</w:t>
      </w:r>
      <w:r w:rsidR="00760079">
        <w:t>5</w:t>
      </w:r>
    </w:p>
    <w:p w14:paraId="39A08076" w14:textId="53E5EA48" w:rsidR="00CC713B" w:rsidRPr="009A233C" w:rsidRDefault="00CC713B" w:rsidP="0097145B">
      <w:pPr>
        <w:rPr>
          <w:i/>
          <w:iCs/>
        </w:rPr>
      </w:pPr>
    </w:p>
    <w:tbl>
      <w:tblPr>
        <w:tblW w:w="1440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7928"/>
      </w:tblGrid>
      <w:tr w:rsidR="00F7122A" w:rsidRPr="009A233C" w14:paraId="59ED7546" w14:textId="77777777" w:rsidTr="000A282A">
        <w:tc>
          <w:tcPr>
            <w:tcW w:w="6480" w:type="dxa"/>
          </w:tcPr>
          <w:p w14:paraId="03347838" w14:textId="6003A37F" w:rsidR="00F7122A" w:rsidRDefault="00F7122A" w:rsidP="00464376">
            <w:pPr>
              <w:pStyle w:val="RAHeading"/>
            </w:pPr>
            <w:r>
              <w:t>TO: All Providers</w:t>
            </w:r>
          </w:p>
        </w:tc>
        <w:tc>
          <w:tcPr>
            <w:tcW w:w="7928" w:type="dxa"/>
          </w:tcPr>
          <w:p w14:paraId="0EF4A1BC" w14:textId="1909EDA3" w:rsidR="00F7122A" w:rsidRDefault="00F7122A" w:rsidP="00464376">
            <w:pPr>
              <w:pStyle w:val="RAHeading"/>
            </w:pPr>
            <w:r>
              <w:t xml:space="preserve">RE: </w:t>
            </w:r>
            <w:r w:rsidRPr="00F7122A">
              <w:t>Revised</w:t>
            </w:r>
            <w:r w:rsidR="00815332">
              <w:t>–</w:t>
            </w:r>
            <w:r w:rsidRPr="00F7122A">
              <w:t>New Edit for 340B Medical Billing</w:t>
            </w:r>
          </w:p>
        </w:tc>
      </w:tr>
      <w:tr w:rsidR="00F7122A" w:rsidRPr="009A233C" w14:paraId="647F4E37" w14:textId="77777777" w:rsidTr="00515462">
        <w:tc>
          <w:tcPr>
            <w:tcW w:w="14408" w:type="dxa"/>
            <w:gridSpan w:val="2"/>
          </w:tcPr>
          <w:p w14:paraId="6CAF89B0" w14:textId="77777777" w:rsidR="00F7122A" w:rsidRPr="00F7122A" w:rsidRDefault="00F7122A" w:rsidP="00F7122A">
            <w:pPr>
              <w:pStyle w:val="RAText"/>
            </w:pPr>
            <w:r w:rsidRPr="00F7122A">
              <w:t>The Arkansas Department of Human Services has made updates to the MMIS core system to ensure claims are billed in accordance with the National Drug Code (NDC) billing instructions found in Section II of the appropriate Provider Manuals noted below:</w:t>
            </w:r>
          </w:p>
          <w:p w14:paraId="73CBBC84" w14:textId="408FEE54" w:rsidR="00F7122A" w:rsidRPr="00F7122A" w:rsidRDefault="00F7122A" w:rsidP="00F7122A">
            <w:pPr>
              <w:pStyle w:val="RAText"/>
              <w:spacing w:after="40"/>
            </w:pPr>
            <w:r w:rsidRPr="00F7122A">
              <w:t xml:space="preserve">Ambulatory Surgical Center </w:t>
            </w:r>
            <w:r w:rsidR="00815332" w:rsidRPr="00815332">
              <w:t>Section</w:t>
            </w:r>
            <w:r w:rsidR="00815332">
              <w:t xml:space="preserve"> </w:t>
            </w:r>
            <w:r w:rsidRPr="00F7122A">
              <w:t>242.400</w:t>
            </w:r>
          </w:p>
          <w:p w14:paraId="6A0BFB80" w14:textId="1AF678FA" w:rsidR="00F7122A" w:rsidRPr="00F7122A" w:rsidRDefault="00F7122A" w:rsidP="00F7122A">
            <w:pPr>
              <w:pStyle w:val="RAText"/>
              <w:spacing w:after="40"/>
            </w:pPr>
            <w:r w:rsidRPr="00F7122A">
              <w:t xml:space="preserve">Certified Nurse-Midwife </w:t>
            </w:r>
            <w:r w:rsidR="00815332">
              <w:t xml:space="preserve">Section </w:t>
            </w:r>
            <w:r w:rsidRPr="00F7122A">
              <w:t>272.531</w:t>
            </w:r>
          </w:p>
          <w:p w14:paraId="68BC5EE6" w14:textId="1AFCB483" w:rsidR="00F7122A" w:rsidRPr="00F7122A" w:rsidRDefault="00F7122A" w:rsidP="00F7122A">
            <w:pPr>
              <w:pStyle w:val="RAText"/>
              <w:spacing w:after="40"/>
            </w:pPr>
            <w:r w:rsidRPr="00F7122A">
              <w:t xml:space="preserve">Critical Access Hospital </w:t>
            </w:r>
            <w:r w:rsidR="00815332">
              <w:t xml:space="preserve">Section </w:t>
            </w:r>
            <w:r w:rsidRPr="00F7122A">
              <w:t>272.102</w:t>
            </w:r>
          </w:p>
          <w:p w14:paraId="1D9191FF" w14:textId="540F20ED" w:rsidR="00F7122A" w:rsidRPr="00F7122A" w:rsidRDefault="00F7122A" w:rsidP="00F7122A">
            <w:pPr>
              <w:pStyle w:val="RAText"/>
              <w:spacing w:after="40"/>
            </w:pPr>
            <w:r w:rsidRPr="00F7122A">
              <w:t xml:space="preserve">End-Stage Renal Disease </w:t>
            </w:r>
            <w:r w:rsidR="00815332">
              <w:t xml:space="preserve">Section </w:t>
            </w:r>
            <w:r w:rsidRPr="00F7122A">
              <w:t>272.102</w:t>
            </w:r>
          </w:p>
          <w:p w14:paraId="749AA173" w14:textId="37130F33" w:rsidR="00F7122A" w:rsidRPr="00F7122A" w:rsidRDefault="00F7122A" w:rsidP="00F7122A">
            <w:pPr>
              <w:pStyle w:val="RAText"/>
              <w:spacing w:after="40"/>
            </w:pPr>
            <w:r w:rsidRPr="00F7122A">
              <w:t xml:space="preserve">Family Planning </w:t>
            </w:r>
            <w:r w:rsidR="00815332">
              <w:t xml:space="preserve">Section </w:t>
            </w:r>
            <w:r w:rsidRPr="00F7122A">
              <w:t>292.910</w:t>
            </w:r>
          </w:p>
          <w:p w14:paraId="6B30B35C" w14:textId="7E6FA7A0" w:rsidR="00F7122A" w:rsidRPr="00F7122A" w:rsidRDefault="00F7122A" w:rsidP="00F7122A">
            <w:pPr>
              <w:pStyle w:val="RAText"/>
              <w:spacing w:after="40"/>
            </w:pPr>
            <w:r w:rsidRPr="00F7122A">
              <w:t xml:space="preserve">Home Health </w:t>
            </w:r>
            <w:r w:rsidR="00815332">
              <w:t xml:space="preserve">Section </w:t>
            </w:r>
            <w:r w:rsidRPr="00F7122A">
              <w:t>242.143</w:t>
            </w:r>
          </w:p>
          <w:p w14:paraId="465DB08E" w14:textId="41C75732" w:rsidR="00F7122A" w:rsidRPr="00F7122A" w:rsidRDefault="00F7122A" w:rsidP="00F7122A">
            <w:pPr>
              <w:pStyle w:val="RAText"/>
              <w:spacing w:after="40"/>
            </w:pPr>
            <w:r w:rsidRPr="00F7122A">
              <w:t xml:space="preserve">Hyperalimentation </w:t>
            </w:r>
            <w:r w:rsidR="00815332">
              <w:t xml:space="preserve">Section </w:t>
            </w:r>
            <w:r w:rsidRPr="00F7122A">
              <w:t>242.401</w:t>
            </w:r>
          </w:p>
          <w:p w14:paraId="134B133A" w14:textId="1E966751" w:rsidR="00F7122A" w:rsidRPr="00F7122A" w:rsidRDefault="00F7122A" w:rsidP="00F7122A">
            <w:pPr>
              <w:pStyle w:val="RAText"/>
              <w:spacing w:after="40"/>
            </w:pPr>
            <w:r w:rsidRPr="00F7122A">
              <w:t xml:space="preserve">Hospital </w:t>
            </w:r>
            <w:r w:rsidR="00815332">
              <w:t xml:space="preserve">Section </w:t>
            </w:r>
            <w:r w:rsidRPr="00F7122A">
              <w:t>272.102</w:t>
            </w:r>
          </w:p>
          <w:p w14:paraId="422D512A" w14:textId="0AAAC621" w:rsidR="00F7122A" w:rsidRPr="00F7122A" w:rsidRDefault="00F7122A" w:rsidP="00F7122A">
            <w:pPr>
              <w:pStyle w:val="RAText"/>
              <w:spacing w:after="40"/>
            </w:pPr>
            <w:r w:rsidRPr="00F7122A">
              <w:t xml:space="preserve">Independent Lab </w:t>
            </w:r>
            <w:r w:rsidR="00815332">
              <w:t xml:space="preserve">Section </w:t>
            </w:r>
            <w:r w:rsidRPr="00F7122A">
              <w:t>292.910</w:t>
            </w:r>
          </w:p>
          <w:p w14:paraId="5F8FA1D5" w14:textId="3B15A740" w:rsidR="00F7122A" w:rsidRPr="00F7122A" w:rsidRDefault="00F7122A" w:rsidP="00F7122A">
            <w:pPr>
              <w:pStyle w:val="RAText"/>
              <w:spacing w:after="40"/>
            </w:pPr>
            <w:r w:rsidRPr="00F7122A">
              <w:t xml:space="preserve">Independent Radiology </w:t>
            </w:r>
            <w:r w:rsidR="00815332">
              <w:t xml:space="preserve">Section </w:t>
            </w:r>
            <w:r w:rsidRPr="00F7122A">
              <w:t>292.910</w:t>
            </w:r>
          </w:p>
          <w:p w14:paraId="24403F99" w14:textId="4087AD2F" w:rsidR="00F7122A" w:rsidRPr="00F7122A" w:rsidRDefault="00F7122A" w:rsidP="00F7122A">
            <w:pPr>
              <w:pStyle w:val="RAText"/>
              <w:spacing w:after="40"/>
            </w:pPr>
            <w:r w:rsidRPr="00F7122A">
              <w:t xml:space="preserve">Nurse Practitioner </w:t>
            </w:r>
            <w:r w:rsidR="00815332">
              <w:t xml:space="preserve">Section </w:t>
            </w:r>
            <w:r w:rsidRPr="00F7122A">
              <w:t>252.438</w:t>
            </w:r>
          </w:p>
          <w:p w14:paraId="4FD4948B" w14:textId="4B59A483" w:rsidR="00F7122A" w:rsidRPr="00F7122A" w:rsidRDefault="00F7122A" w:rsidP="00F7122A">
            <w:pPr>
              <w:pStyle w:val="RAText"/>
              <w:spacing w:after="40"/>
            </w:pPr>
            <w:r w:rsidRPr="00F7122A">
              <w:t xml:space="preserve">Oral Surgeon </w:t>
            </w:r>
            <w:r w:rsidR="00815332">
              <w:t xml:space="preserve">Section </w:t>
            </w:r>
            <w:r w:rsidRPr="00F7122A">
              <w:t>292.910</w:t>
            </w:r>
          </w:p>
          <w:p w14:paraId="295368AC" w14:textId="79689A3C" w:rsidR="00F7122A" w:rsidRPr="00F7122A" w:rsidRDefault="00F7122A" w:rsidP="00F7122A">
            <w:pPr>
              <w:pStyle w:val="RAText"/>
              <w:spacing w:after="40"/>
            </w:pPr>
            <w:r w:rsidRPr="00F7122A">
              <w:t xml:space="preserve">Podiatrist </w:t>
            </w:r>
            <w:r w:rsidR="00815332">
              <w:t xml:space="preserve">Section </w:t>
            </w:r>
            <w:r w:rsidRPr="00F7122A">
              <w:t>242.450</w:t>
            </w:r>
          </w:p>
          <w:p w14:paraId="7FE34F98" w14:textId="2A0C70AD" w:rsidR="00F7122A" w:rsidRPr="00F7122A" w:rsidRDefault="00F7122A" w:rsidP="00F7122A">
            <w:pPr>
              <w:pStyle w:val="RAText"/>
              <w:spacing w:after="40"/>
            </w:pPr>
            <w:r w:rsidRPr="00F7122A">
              <w:t xml:space="preserve">Physician </w:t>
            </w:r>
            <w:r w:rsidR="00815332">
              <w:t xml:space="preserve">Section </w:t>
            </w:r>
            <w:r w:rsidRPr="00F7122A">
              <w:t>292.910</w:t>
            </w:r>
          </w:p>
          <w:p w14:paraId="4E717480" w14:textId="7C06B041" w:rsidR="00F7122A" w:rsidRPr="00F7122A" w:rsidRDefault="00F7122A" w:rsidP="00F7122A">
            <w:pPr>
              <w:pStyle w:val="RAText"/>
              <w:spacing w:after="40"/>
            </w:pPr>
            <w:r w:rsidRPr="00F7122A">
              <w:t xml:space="preserve">Primary Care Physician </w:t>
            </w:r>
            <w:r w:rsidR="00815332">
              <w:t xml:space="preserve">Section </w:t>
            </w:r>
            <w:r w:rsidRPr="00F7122A">
              <w:t>292.910</w:t>
            </w:r>
          </w:p>
          <w:p w14:paraId="718F3D1F" w14:textId="70F27C05" w:rsidR="00F7122A" w:rsidRPr="00F7122A" w:rsidRDefault="00F7122A" w:rsidP="00F7122A">
            <w:pPr>
              <w:pStyle w:val="RAText"/>
              <w:spacing w:after="40"/>
            </w:pPr>
            <w:r w:rsidRPr="00F7122A">
              <w:t xml:space="preserve">Prosthetics (includes DME and Orthotics) </w:t>
            </w:r>
            <w:r w:rsidR="00815332">
              <w:t xml:space="preserve">Section </w:t>
            </w:r>
            <w:r w:rsidRPr="00F7122A">
              <w:t>242.401</w:t>
            </w:r>
          </w:p>
          <w:p w14:paraId="1F28BA50" w14:textId="3202C790" w:rsidR="00F7122A" w:rsidRPr="00F7122A" w:rsidRDefault="00F7122A" w:rsidP="00F7122A">
            <w:pPr>
              <w:pStyle w:val="RAText"/>
              <w:spacing w:after="40"/>
            </w:pPr>
            <w:r w:rsidRPr="00F7122A">
              <w:t xml:space="preserve">Radiation Therapy Center </w:t>
            </w:r>
            <w:r w:rsidR="00815332">
              <w:t xml:space="preserve">Section </w:t>
            </w:r>
            <w:r w:rsidRPr="00F7122A">
              <w:t>292.910</w:t>
            </w:r>
          </w:p>
          <w:p w14:paraId="78803FD6" w14:textId="58FFAD02" w:rsidR="00F7122A" w:rsidRPr="00F7122A" w:rsidRDefault="00F7122A" w:rsidP="00F7122A">
            <w:pPr>
              <w:pStyle w:val="RAText"/>
            </w:pPr>
            <w:r w:rsidRPr="00F7122A">
              <w:t xml:space="preserve">Transportation </w:t>
            </w:r>
            <w:r w:rsidR="00815332">
              <w:t xml:space="preserve">Section </w:t>
            </w:r>
            <w:r w:rsidRPr="00F7122A">
              <w:t>252.110</w:t>
            </w:r>
          </w:p>
          <w:p w14:paraId="78B7C94F" w14:textId="77777777" w:rsidR="00F7122A" w:rsidRPr="00F7122A" w:rsidRDefault="00F7122A" w:rsidP="00F7122A">
            <w:pPr>
              <w:pStyle w:val="RAText"/>
            </w:pPr>
            <w:r w:rsidRPr="00F7122A">
              <w:t>Previously there was a 90 day grace period for claims billed incorrectly where edit 1014 was set to Post and Pay when billed incorrectly. This grace period has now ended.</w:t>
            </w:r>
          </w:p>
          <w:p w14:paraId="100191CF" w14:textId="77777777" w:rsidR="00F7122A" w:rsidRPr="00F7122A" w:rsidRDefault="00F7122A" w:rsidP="00F7122A">
            <w:pPr>
              <w:pStyle w:val="RAText"/>
            </w:pPr>
            <w:r w:rsidRPr="00F7122A">
              <w:t>Effective August 1, 2025, this new edit will Deny all claim lines which are not billed in accordance with Arkansas Policy related to the Drug Procedure (HCPCS/CPT) to NDC Relationship and Billing Principles.</w:t>
            </w:r>
          </w:p>
          <w:p w14:paraId="2743684D" w14:textId="4A2B8D60" w:rsidR="00F7122A" w:rsidRPr="00F7122A" w:rsidRDefault="00F7122A" w:rsidP="00F7122A">
            <w:pPr>
              <w:pStyle w:val="RAText"/>
              <w:spacing w:after="40"/>
            </w:pPr>
            <w:r>
              <w:t>-</w:t>
            </w:r>
            <w:r w:rsidR="00787308">
              <w:t>-</w:t>
            </w:r>
            <w:r w:rsidRPr="00F7122A">
              <w:t>To ensure your claims are billed correctly and with appropriate units, providers should refer to examples found in Section II of the appropriate manuals noted above.</w:t>
            </w:r>
          </w:p>
          <w:p w14:paraId="60050AFE" w14:textId="03DB66E2" w:rsidR="00F7122A" w:rsidRPr="00F7122A" w:rsidRDefault="00F7122A" w:rsidP="00F7122A">
            <w:pPr>
              <w:pStyle w:val="RAText"/>
              <w:spacing w:after="40"/>
            </w:pPr>
            <w:r>
              <w:t>-</w:t>
            </w:r>
            <w:r w:rsidR="00787308">
              <w:t>-</w:t>
            </w:r>
            <w:r w:rsidRPr="00F7122A">
              <w:t>There are NDC Units Calculator tools available through various vendors.</w:t>
            </w:r>
          </w:p>
          <w:p w14:paraId="76F9B41A" w14:textId="130698C3" w:rsidR="00F7122A" w:rsidRDefault="00F7122A" w:rsidP="00F7122A">
            <w:pPr>
              <w:pStyle w:val="RAText"/>
            </w:pPr>
            <w:r>
              <w:t>-</w:t>
            </w:r>
            <w:r w:rsidR="00787308">
              <w:t>-</w:t>
            </w:r>
            <w:r w:rsidRPr="00F7122A">
              <w:t>Explanation of Benefit (EOB) 1257 – Submitted NDC Units are Greater than Covered HCPCS Units; will appear on your remittance advice for informational purposes.</w:t>
            </w:r>
          </w:p>
        </w:tc>
      </w:tr>
      <w:tr w:rsidR="00A40320" w:rsidRPr="009A233C" w14:paraId="0773DE1F" w14:textId="77777777" w:rsidTr="000A282A">
        <w:tc>
          <w:tcPr>
            <w:tcW w:w="6480" w:type="dxa"/>
          </w:tcPr>
          <w:p w14:paraId="1BEFEAF8" w14:textId="6CE8AFC8" w:rsidR="00A40320" w:rsidRDefault="00A40320" w:rsidP="00464376">
            <w:pPr>
              <w:pStyle w:val="RAHeading"/>
            </w:pPr>
            <w:r>
              <w:t>TO: Hospital and Physician Providers</w:t>
            </w:r>
          </w:p>
        </w:tc>
        <w:tc>
          <w:tcPr>
            <w:tcW w:w="7928" w:type="dxa"/>
          </w:tcPr>
          <w:p w14:paraId="5E15DAB3" w14:textId="70241DF0" w:rsidR="00A40320" w:rsidRDefault="00A40320" w:rsidP="00464376">
            <w:pPr>
              <w:pStyle w:val="RAHeading"/>
            </w:pPr>
            <w:r>
              <w:t xml:space="preserve">RE: </w:t>
            </w:r>
            <w:r w:rsidRPr="00A40320">
              <w:t>Procedure Code Q2009 Update</w:t>
            </w:r>
          </w:p>
        </w:tc>
      </w:tr>
      <w:tr w:rsidR="00A40320" w:rsidRPr="009A233C" w14:paraId="5F306E40" w14:textId="77777777" w:rsidTr="00A31E6B">
        <w:tc>
          <w:tcPr>
            <w:tcW w:w="14408" w:type="dxa"/>
            <w:gridSpan w:val="2"/>
          </w:tcPr>
          <w:p w14:paraId="5A43340B" w14:textId="73E82C55" w:rsidR="00A40320" w:rsidRDefault="00A40320" w:rsidP="00A40320">
            <w:pPr>
              <w:pStyle w:val="RAText"/>
            </w:pPr>
            <w:r w:rsidRPr="00A40320">
              <w:t>Procedure Code Q2009 (FOSPHENYTOIN INJ PE) under the MEDSV and OUTPA contracts no longer require a diagnosis from group 603. Claims analysis will be performed.</w:t>
            </w:r>
          </w:p>
        </w:tc>
      </w:tr>
      <w:tr w:rsidR="00FE15EC" w:rsidRPr="009A233C" w14:paraId="5DE12687" w14:textId="77777777" w:rsidTr="000A282A">
        <w:tc>
          <w:tcPr>
            <w:tcW w:w="6480" w:type="dxa"/>
          </w:tcPr>
          <w:p w14:paraId="3C72DFC3" w14:textId="55E3A6D8" w:rsidR="00FE15EC" w:rsidRDefault="00FE15EC" w:rsidP="00464376">
            <w:pPr>
              <w:pStyle w:val="RAHeading"/>
            </w:pPr>
            <w:r>
              <w:lastRenderedPageBreak/>
              <w:t>TO: Physician Providers</w:t>
            </w:r>
          </w:p>
        </w:tc>
        <w:tc>
          <w:tcPr>
            <w:tcW w:w="7928" w:type="dxa"/>
          </w:tcPr>
          <w:p w14:paraId="1DFF154E" w14:textId="7D3F6ED3" w:rsidR="00FE15EC" w:rsidRDefault="00FE15EC" w:rsidP="00464376">
            <w:pPr>
              <w:pStyle w:val="RAHeading"/>
            </w:pPr>
            <w:r>
              <w:t xml:space="preserve">RE: </w:t>
            </w:r>
            <w:r w:rsidRPr="00FE15EC">
              <w:t>Place of Service Updates for Procedure Code 22511</w:t>
            </w:r>
          </w:p>
        </w:tc>
      </w:tr>
      <w:tr w:rsidR="00FE15EC" w:rsidRPr="009A233C" w14:paraId="6B88DC46" w14:textId="77777777" w:rsidTr="00574541">
        <w:tc>
          <w:tcPr>
            <w:tcW w:w="14408" w:type="dxa"/>
            <w:gridSpan w:val="2"/>
          </w:tcPr>
          <w:p w14:paraId="4DE6CD94" w14:textId="37627E1C" w:rsidR="00FE15EC" w:rsidRDefault="00FE15EC" w:rsidP="00FE15EC">
            <w:pPr>
              <w:pStyle w:val="RAText"/>
            </w:pPr>
            <w:r>
              <w:t>The Arkansas Department of Human Services has updated coverage in the MEDSV and ASTSG contracts to allow procedure 22511 [PERQ LUMBOSACRAL INJECTION] to be performed in an ASC Place of Service (24).</w:t>
            </w:r>
          </w:p>
          <w:p w14:paraId="04F95043" w14:textId="2D5AA1C4" w:rsidR="00FE15EC" w:rsidRDefault="00FE15EC" w:rsidP="00FE15EC">
            <w:pPr>
              <w:pStyle w:val="RAText"/>
            </w:pPr>
            <w:r>
              <w:t>Claims analysis will be performed going back one year.</w:t>
            </w:r>
          </w:p>
        </w:tc>
      </w:tr>
      <w:tr w:rsidR="00DD65BB" w:rsidRPr="009A233C" w14:paraId="26ABAA86" w14:textId="77777777" w:rsidTr="000A282A">
        <w:tc>
          <w:tcPr>
            <w:tcW w:w="6480" w:type="dxa"/>
          </w:tcPr>
          <w:p w14:paraId="66258D08" w14:textId="41CCC3AD" w:rsidR="00DD65BB" w:rsidRDefault="00DE4103" w:rsidP="00464376">
            <w:pPr>
              <w:pStyle w:val="RAHeading"/>
            </w:pPr>
            <w:r>
              <w:t>TO: Transportation providers</w:t>
            </w:r>
          </w:p>
        </w:tc>
        <w:tc>
          <w:tcPr>
            <w:tcW w:w="7928" w:type="dxa"/>
          </w:tcPr>
          <w:p w14:paraId="49A05362" w14:textId="4ACA9DA1" w:rsidR="00DD65BB" w:rsidRDefault="00DE4103" w:rsidP="00464376">
            <w:pPr>
              <w:pStyle w:val="RAHeading"/>
            </w:pPr>
            <w:r>
              <w:t xml:space="preserve">RE: </w:t>
            </w:r>
            <w:r w:rsidRPr="00DE4103">
              <w:t>Miles Traveled For Ground Transportation Claims-Providers Have Ability To Submit The Decimal</w:t>
            </w:r>
          </w:p>
        </w:tc>
      </w:tr>
      <w:tr w:rsidR="00DD65BB" w:rsidRPr="009A233C" w14:paraId="1F4AF44F" w14:textId="77777777" w:rsidTr="00202D40">
        <w:tc>
          <w:tcPr>
            <w:tcW w:w="14408" w:type="dxa"/>
            <w:gridSpan w:val="2"/>
          </w:tcPr>
          <w:p w14:paraId="6718BB1D" w14:textId="74EA051D" w:rsidR="00DE4103" w:rsidRDefault="00DE4103" w:rsidP="00DE4103">
            <w:pPr>
              <w:pStyle w:val="RAText"/>
            </w:pPr>
            <w:r>
              <w:t>It has come to our attention that when submitting transportation claims some ground transportation providers are rounding the number of miles traveled and some are submitting the decimal. As a reminder, the system changed in 2020 to allow ground transportation providers to have the ability to submit the decimal. Providers must bill using the decimal places for ground transportation mileage and rounding will not be accepted.</w:t>
            </w:r>
          </w:p>
          <w:p w14:paraId="3B568279" w14:textId="2361DBA9" w:rsidR="00DE4103" w:rsidRDefault="00DE4103" w:rsidP="00DE4103">
            <w:pPr>
              <w:pStyle w:val="RAText"/>
            </w:pPr>
            <w:r>
              <w:t>Below is Section 205.000 A(4) from the current Transportation policy manual updated August 3, 2020, that addresses the number of miles traveled.</w:t>
            </w:r>
          </w:p>
          <w:p w14:paraId="00EDEC49" w14:textId="07A696BD" w:rsidR="00DE4103" w:rsidRDefault="00DE4103" w:rsidP="008F1EEB">
            <w:pPr>
              <w:pStyle w:val="RAText"/>
              <w:tabs>
                <w:tab w:val="left" w:pos="12675"/>
              </w:tabs>
              <w:spacing w:after="40"/>
              <w:ind w:left="435"/>
            </w:pPr>
            <w:r>
              <w:t>205.000 Records Ambulance Providers Are Required to Keep</w:t>
            </w:r>
            <w:r>
              <w:rPr>
                <w:rFonts w:eastAsia="Batang"/>
                <w:lang w:eastAsia="ko-KR"/>
              </w:rPr>
              <w:tab/>
            </w:r>
            <w:r>
              <w:t>8-3-20</w:t>
            </w:r>
          </w:p>
          <w:p w14:paraId="428E6863" w14:textId="2097262B" w:rsidR="00DE4103" w:rsidRDefault="00DE4103" w:rsidP="00E0693F">
            <w:pPr>
              <w:pStyle w:val="RAText"/>
              <w:spacing w:after="40"/>
              <w:ind w:left="795" w:right="1156" w:hanging="345"/>
            </w:pPr>
            <w:r>
              <w:t>A.</w:t>
            </w:r>
            <w:r>
              <w:rPr>
                <w:rFonts w:eastAsia="Batang"/>
                <w:lang w:eastAsia="ko-KR"/>
              </w:rPr>
              <w:t xml:space="preserve"> </w:t>
            </w:r>
            <w:r>
              <w:rPr>
                <w:rFonts w:eastAsia="Batang"/>
                <w:lang w:eastAsia="ko-KR"/>
              </w:rPr>
              <w:tab/>
              <w:t>Ambulance</w:t>
            </w:r>
            <w:r>
              <w:t xml:space="preserve"> providers are required to keep the following records and, upon request, to immediately furnish the records to authorized representatives of the Arkansas Division of Medical Services and the State Medicaid Fraud Control Unit and to representatives of the Department of Human Services:</w:t>
            </w:r>
          </w:p>
          <w:p w14:paraId="0F45A807" w14:textId="02720B92" w:rsidR="00DE4103" w:rsidRDefault="00DE4103" w:rsidP="00E0693F">
            <w:pPr>
              <w:pStyle w:val="RAText"/>
              <w:spacing w:after="40"/>
              <w:ind w:left="1065" w:right="1156" w:hanging="270"/>
            </w:pPr>
            <w:r>
              <w:t>4.</w:t>
            </w:r>
            <w:r>
              <w:rPr>
                <w:rFonts w:eastAsia="Batang"/>
                <w:lang w:eastAsia="ko-KR"/>
              </w:rPr>
              <w:t xml:space="preserve"> </w:t>
            </w:r>
            <w:r>
              <w:rPr>
                <w:rFonts w:eastAsia="Batang"/>
                <w:lang w:eastAsia="ko-KR"/>
              </w:rPr>
              <w:tab/>
            </w:r>
            <w:r>
              <w:t>Number of miles traveled – Mileage at transport origin and mileage at transport destination, while loaded, must be documented. Mileage is paid only for that part of the trip the patient is a passenger in the ambulance. The loaded miles must be recorded on the Patient Care Report (PCR). The provider is still responsible for ensuring trip mileage is measured and reported accurately, even in cases where the ambulance personnel fail to reset the trip odometer at the beginning of the trip. Detailed explanation of what occurred must be documented. Acceptable tools used to measure mileage include:</w:t>
            </w:r>
          </w:p>
          <w:p w14:paraId="7E4BE04B" w14:textId="017178E4" w:rsidR="00DE4103" w:rsidRDefault="00DE4103" w:rsidP="00E0693F">
            <w:pPr>
              <w:pStyle w:val="RAText"/>
              <w:spacing w:after="40"/>
              <w:ind w:left="1335" w:right="1156" w:hanging="270"/>
            </w:pPr>
            <w:r>
              <w:t>a.</w:t>
            </w:r>
            <w:r>
              <w:rPr>
                <w:rFonts w:eastAsia="Batang"/>
                <w:lang w:eastAsia="ko-KR"/>
              </w:rPr>
              <w:t xml:space="preserve"> </w:t>
            </w:r>
            <w:r>
              <w:rPr>
                <w:rFonts w:eastAsia="Batang"/>
                <w:lang w:eastAsia="ko-KR"/>
              </w:rPr>
              <w:tab/>
            </w:r>
            <w:r>
              <w:t>Odometer readings (both beginning and ending mileage must be documented);</w:t>
            </w:r>
          </w:p>
          <w:p w14:paraId="3FE88F96" w14:textId="139D1AF8" w:rsidR="00DE4103" w:rsidRDefault="00DE4103" w:rsidP="00E0693F">
            <w:pPr>
              <w:pStyle w:val="RAText"/>
              <w:spacing w:after="40"/>
              <w:ind w:left="1335" w:right="1156" w:hanging="270"/>
            </w:pPr>
            <w:r>
              <w:t>b.</w:t>
            </w:r>
            <w:r>
              <w:rPr>
                <w:rFonts w:eastAsia="Batang"/>
                <w:lang w:eastAsia="ko-KR"/>
              </w:rPr>
              <w:t xml:space="preserve"> </w:t>
            </w:r>
            <w:r>
              <w:rPr>
                <w:rFonts w:eastAsia="Batang"/>
                <w:lang w:eastAsia="ko-KR"/>
              </w:rPr>
              <w:tab/>
            </w:r>
            <w:r>
              <w:t xml:space="preserve">Global Positioning Systems (GPS) (GPS printout must be included in documentation); and, </w:t>
            </w:r>
          </w:p>
          <w:p w14:paraId="57D94E86" w14:textId="1EB6DF91" w:rsidR="00DE4103" w:rsidRDefault="00DE4103" w:rsidP="00E0693F">
            <w:pPr>
              <w:pStyle w:val="RAText"/>
              <w:spacing w:after="40"/>
              <w:ind w:left="1335" w:right="1156" w:hanging="270"/>
            </w:pPr>
            <w:r>
              <w:t>c.</w:t>
            </w:r>
            <w:r>
              <w:rPr>
                <w:rFonts w:eastAsia="Batang"/>
                <w:lang w:eastAsia="ko-KR"/>
              </w:rPr>
              <w:t xml:space="preserve"> </w:t>
            </w:r>
            <w:r>
              <w:rPr>
                <w:rFonts w:eastAsia="Batang"/>
                <w:lang w:eastAsia="ko-KR"/>
              </w:rPr>
              <w:tab/>
            </w:r>
            <w:r>
              <w:t>Map mileage documented by using an electronic mapping system (such as Google Maps or MapQuest)</w:t>
            </w:r>
          </w:p>
          <w:p w14:paraId="2DFEB3F8" w14:textId="68AB82D5" w:rsidR="00DD65BB" w:rsidRDefault="00DE4103" w:rsidP="005E79ED">
            <w:pPr>
              <w:pStyle w:val="RAText"/>
              <w:ind w:left="435" w:right="1156"/>
            </w:pPr>
            <w:r>
              <w:t>The provider is responsible for ensuring any tools used to measure trip mileage are in working order. Ambulance providers are required to use the shortest route in time between point “A” to “B”. If the shortest route cannot be used, the reason why must be documented.</w:t>
            </w:r>
          </w:p>
        </w:tc>
      </w:tr>
    </w:tbl>
    <w:p w14:paraId="2F5D9C19" w14:textId="71ED969E" w:rsidR="0085169D" w:rsidRPr="009A233C" w:rsidRDefault="0085169D" w:rsidP="006324C0">
      <w:pPr>
        <w:pStyle w:val="RABottomText"/>
        <w:rPr>
          <w:rFonts w:eastAsia="Batang"/>
          <w:b w:val="0"/>
          <w:i w:val="0"/>
          <w:lang w:eastAsia="ko-KR"/>
        </w:rPr>
      </w:pPr>
      <w:r w:rsidRPr="009A233C">
        <w:rPr>
          <w:rFonts w:eastAsia="Batang"/>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Cs/>
            <w:iCs/>
            <w:lang w:eastAsia="ko-KR"/>
          </w:rPr>
          <w:t>https://portal.mmis.arkansas.gov/armedicaid/provider/Home/tabid/135/Default.aspx</w:t>
        </w:r>
      </w:hyperlink>
      <w:r w:rsidRPr="009A233C">
        <w:rPr>
          <w:rFonts w:eastAsia="Batang"/>
          <w:lang w:eastAsia="ko-KR"/>
        </w:rPr>
        <w:t>.</w:t>
      </w:r>
      <w:r w:rsidR="00ED7BFE">
        <w:rPr>
          <w:rFonts w:eastAsia="Batang"/>
          <w:lang w:eastAsia="ko-KR"/>
        </w:rPr>
        <w:tab/>
      </w:r>
    </w:p>
    <w:sectPr w:rsidR="0085169D" w:rsidRPr="009A233C" w:rsidSect="00F7122A">
      <w:pgSz w:w="15840" w:h="12240" w:orient="landscape" w:code="1"/>
      <w:pgMar w:top="1008" w:right="720" w:bottom="1008"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63A3B"/>
    <w:multiLevelType w:val="hybridMultilevel"/>
    <w:tmpl w:val="41AC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E140E"/>
    <w:multiLevelType w:val="hybridMultilevel"/>
    <w:tmpl w:val="1AFE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7"/>
  </w:num>
  <w:num w:numId="3" w16cid:durableId="1764915598">
    <w:abstractNumId w:val="31"/>
  </w:num>
  <w:num w:numId="4" w16cid:durableId="285743630">
    <w:abstractNumId w:val="16"/>
  </w:num>
  <w:num w:numId="5" w16cid:durableId="1067649689">
    <w:abstractNumId w:val="3"/>
  </w:num>
  <w:num w:numId="6" w16cid:durableId="1056782968">
    <w:abstractNumId w:val="24"/>
  </w:num>
  <w:num w:numId="7" w16cid:durableId="1125125218">
    <w:abstractNumId w:val="21"/>
  </w:num>
  <w:num w:numId="8" w16cid:durableId="950015320">
    <w:abstractNumId w:val="30"/>
  </w:num>
  <w:num w:numId="9" w16cid:durableId="2054307345">
    <w:abstractNumId w:val="32"/>
  </w:num>
  <w:num w:numId="10" w16cid:durableId="1695425299">
    <w:abstractNumId w:val="28"/>
  </w:num>
  <w:num w:numId="11" w16cid:durableId="1461415117">
    <w:abstractNumId w:val="12"/>
  </w:num>
  <w:num w:numId="12" w16cid:durableId="1390304551">
    <w:abstractNumId w:val="6"/>
  </w:num>
  <w:num w:numId="13" w16cid:durableId="1582331996">
    <w:abstractNumId w:val="11"/>
  </w:num>
  <w:num w:numId="14" w16cid:durableId="828983114">
    <w:abstractNumId w:val="7"/>
  </w:num>
  <w:num w:numId="15" w16cid:durableId="573398377">
    <w:abstractNumId w:val="37"/>
  </w:num>
  <w:num w:numId="16" w16cid:durableId="1317757009">
    <w:abstractNumId w:val="9"/>
  </w:num>
  <w:num w:numId="17" w16cid:durableId="1379430719">
    <w:abstractNumId w:val="17"/>
  </w:num>
  <w:num w:numId="18" w16cid:durableId="1004554482">
    <w:abstractNumId w:val="29"/>
  </w:num>
  <w:num w:numId="19" w16cid:durableId="527260052">
    <w:abstractNumId w:val="26"/>
  </w:num>
  <w:num w:numId="20" w16cid:durableId="1046371567">
    <w:abstractNumId w:val="10"/>
  </w:num>
  <w:num w:numId="21" w16cid:durableId="16126293">
    <w:abstractNumId w:val="4"/>
  </w:num>
  <w:num w:numId="22" w16cid:durableId="789400013">
    <w:abstractNumId w:val="36"/>
  </w:num>
  <w:num w:numId="23" w16cid:durableId="1986733675">
    <w:abstractNumId w:val="22"/>
  </w:num>
  <w:num w:numId="24" w16cid:durableId="482040308">
    <w:abstractNumId w:val="20"/>
  </w:num>
  <w:num w:numId="25" w16cid:durableId="878205331">
    <w:abstractNumId w:val="14"/>
  </w:num>
  <w:num w:numId="26" w16cid:durableId="572351401">
    <w:abstractNumId w:val="33"/>
  </w:num>
  <w:num w:numId="27" w16cid:durableId="213976199">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5"/>
  </w:num>
  <w:num w:numId="30" w16cid:durableId="137918648">
    <w:abstractNumId w:val="35"/>
  </w:num>
  <w:num w:numId="31" w16cid:durableId="191455874">
    <w:abstractNumId w:val="15"/>
  </w:num>
  <w:num w:numId="32" w16cid:durableId="1451239030">
    <w:abstractNumId w:val="23"/>
  </w:num>
  <w:num w:numId="33" w16cid:durableId="1194727401">
    <w:abstractNumId w:val="5"/>
  </w:num>
  <w:num w:numId="34" w16cid:durableId="1900167424">
    <w:abstractNumId w:val="13"/>
  </w:num>
  <w:num w:numId="35" w16cid:durableId="723867162">
    <w:abstractNumId w:val="19"/>
  </w:num>
  <w:num w:numId="36" w16cid:durableId="2092655192">
    <w:abstractNumId w:val="34"/>
  </w:num>
  <w:num w:numId="37" w16cid:durableId="1848135941">
    <w:abstractNumId w:val="8"/>
  </w:num>
  <w:num w:numId="38" w16cid:durableId="1884706359">
    <w:abstractNumId w:val="2"/>
  </w:num>
  <w:num w:numId="39" w16cid:durableId="179205287">
    <w:abstractNumId w:val="1"/>
  </w:num>
  <w:num w:numId="40" w16cid:durableId="9663569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267E"/>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10B"/>
    <w:rsid w:val="000217A4"/>
    <w:rsid w:val="00021DA4"/>
    <w:rsid w:val="00022CC1"/>
    <w:rsid w:val="000256D9"/>
    <w:rsid w:val="000275FB"/>
    <w:rsid w:val="00027672"/>
    <w:rsid w:val="00027A13"/>
    <w:rsid w:val="000307CA"/>
    <w:rsid w:val="00031FE9"/>
    <w:rsid w:val="00032B4B"/>
    <w:rsid w:val="0003310F"/>
    <w:rsid w:val="0003324B"/>
    <w:rsid w:val="000334ED"/>
    <w:rsid w:val="0003350F"/>
    <w:rsid w:val="00033EE5"/>
    <w:rsid w:val="00035921"/>
    <w:rsid w:val="00036A2C"/>
    <w:rsid w:val="000374C9"/>
    <w:rsid w:val="000408C0"/>
    <w:rsid w:val="0005182C"/>
    <w:rsid w:val="00052719"/>
    <w:rsid w:val="000548ED"/>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1A84"/>
    <w:rsid w:val="00093576"/>
    <w:rsid w:val="00093583"/>
    <w:rsid w:val="00093A0D"/>
    <w:rsid w:val="000955D8"/>
    <w:rsid w:val="00096B0E"/>
    <w:rsid w:val="00096C84"/>
    <w:rsid w:val="000A0074"/>
    <w:rsid w:val="000A1D56"/>
    <w:rsid w:val="000A282A"/>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88A"/>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0281"/>
    <w:rsid w:val="000F2CB8"/>
    <w:rsid w:val="000F31E9"/>
    <w:rsid w:val="000F35E3"/>
    <w:rsid w:val="000F3D50"/>
    <w:rsid w:val="000F5377"/>
    <w:rsid w:val="000F5FCC"/>
    <w:rsid w:val="000F6B62"/>
    <w:rsid w:val="000F7A16"/>
    <w:rsid w:val="0010082A"/>
    <w:rsid w:val="00102466"/>
    <w:rsid w:val="0010359B"/>
    <w:rsid w:val="00103DDA"/>
    <w:rsid w:val="00106384"/>
    <w:rsid w:val="00106862"/>
    <w:rsid w:val="00106F86"/>
    <w:rsid w:val="00106FBA"/>
    <w:rsid w:val="001072B6"/>
    <w:rsid w:val="00107B54"/>
    <w:rsid w:val="00107DA5"/>
    <w:rsid w:val="00111780"/>
    <w:rsid w:val="00111F80"/>
    <w:rsid w:val="0011278A"/>
    <w:rsid w:val="00112E6F"/>
    <w:rsid w:val="00112FD6"/>
    <w:rsid w:val="0011441A"/>
    <w:rsid w:val="00115190"/>
    <w:rsid w:val="00115FC4"/>
    <w:rsid w:val="00120865"/>
    <w:rsid w:val="00120CDF"/>
    <w:rsid w:val="00123256"/>
    <w:rsid w:val="001236F8"/>
    <w:rsid w:val="0012377D"/>
    <w:rsid w:val="00123CCC"/>
    <w:rsid w:val="001243E0"/>
    <w:rsid w:val="001274DD"/>
    <w:rsid w:val="00130003"/>
    <w:rsid w:val="001303C0"/>
    <w:rsid w:val="00131492"/>
    <w:rsid w:val="0013164F"/>
    <w:rsid w:val="00134F86"/>
    <w:rsid w:val="001369E2"/>
    <w:rsid w:val="00137927"/>
    <w:rsid w:val="001408A9"/>
    <w:rsid w:val="00140E72"/>
    <w:rsid w:val="00142CAC"/>
    <w:rsid w:val="001437CD"/>
    <w:rsid w:val="00145525"/>
    <w:rsid w:val="00145AC1"/>
    <w:rsid w:val="001465A7"/>
    <w:rsid w:val="00147843"/>
    <w:rsid w:val="001503C6"/>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C0C"/>
    <w:rsid w:val="00180DFB"/>
    <w:rsid w:val="00182054"/>
    <w:rsid w:val="00182E8E"/>
    <w:rsid w:val="00183476"/>
    <w:rsid w:val="001848F4"/>
    <w:rsid w:val="00185017"/>
    <w:rsid w:val="00186397"/>
    <w:rsid w:val="00187A7C"/>
    <w:rsid w:val="001919FB"/>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0FB7"/>
    <w:rsid w:val="001E227E"/>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07D48"/>
    <w:rsid w:val="0021004C"/>
    <w:rsid w:val="002104A0"/>
    <w:rsid w:val="00210B94"/>
    <w:rsid w:val="00211C7F"/>
    <w:rsid w:val="0021210C"/>
    <w:rsid w:val="00213950"/>
    <w:rsid w:val="002141D8"/>
    <w:rsid w:val="002145CE"/>
    <w:rsid w:val="002149F4"/>
    <w:rsid w:val="00214EDD"/>
    <w:rsid w:val="002154D0"/>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50AD"/>
    <w:rsid w:val="0023687B"/>
    <w:rsid w:val="00236DF1"/>
    <w:rsid w:val="00237B00"/>
    <w:rsid w:val="00237C26"/>
    <w:rsid w:val="00237CD1"/>
    <w:rsid w:val="002405D4"/>
    <w:rsid w:val="00242527"/>
    <w:rsid w:val="002432A1"/>
    <w:rsid w:val="00243A32"/>
    <w:rsid w:val="00244620"/>
    <w:rsid w:val="00244AFE"/>
    <w:rsid w:val="00245726"/>
    <w:rsid w:val="00245F2A"/>
    <w:rsid w:val="002463B3"/>
    <w:rsid w:val="0025008A"/>
    <w:rsid w:val="002510C8"/>
    <w:rsid w:val="00252508"/>
    <w:rsid w:val="00252816"/>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7743D"/>
    <w:rsid w:val="00280443"/>
    <w:rsid w:val="00281602"/>
    <w:rsid w:val="002830CF"/>
    <w:rsid w:val="002835D3"/>
    <w:rsid w:val="00285513"/>
    <w:rsid w:val="00287764"/>
    <w:rsid w:val="002900B2"/>
    <w:rsid w:val="0029092F"/>
    <w:rsid w:val="002930B5"/>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59A"/>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0400"/>
    <w:rsid w:val="002F156D"/>
    <w:rsid w:val="002F1BC1"/>
    <w:rsid w:val="002F3637"/>
    <w:rsid w:val="002F4CE4"/>
    <w:rsid w:val="002F51D3"/>
    <w:rsid w:val="002F60CD"/>
    <w:rsid w:val="002F6C68"/>
    <w:rsid w:val="00300728"/>
    <w:rsid w:val="00300FA3"/>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0CFE"/>
    <w:rsid w:val="0032110C"/>
    <w:rsid w:val="00322AD5"/>
    <w:rsid w:val="00324560"/>
    <w:rsid w:val="003245A3"/>
    <w:rsid w:val="00325363"/>
    <w:rsid w:val="00325C40"/>
    <w:rsid w:val="0032687F"/>
    <w:rsid w:val="00330569"/>
    <w:rsid w:val="00330DE6"/>
    <w:rsid w:val="003320BB"/>
    <w:rsid w:val="00334DA6"/>
    <w:rsid w:val="003409E8"/>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0C3"/>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4E7B"/>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459"/>
    <w:rsid w:val="003B28DA"/>
    <w:rsid w:val="003B4F82"/>
    <w:rsid w:val="003B696A"/>
    <w:rsid w:val="003B79D6"/>
    <w:rsid w:val="003C0DF0"/>
    <w:rsid w:val="003C3886"/>
    <w:rsid w:val="003C3C48"/>
    <w:rsid w:val="003C7081"/>
    <w:rsid w:val="003C7CC1"/>
    <w:rsid w:val="003D0691"/>
    <w:rsid w:val="003D0908"/>
    <w:rsid w:val="003D1421"/>
    <w:rsid w:val="003D3E5A"/>
    <w:rsid w:val="003D429E"/>
    <w:rsid w:val="003D481A"/>
    <w:rsid w:val="003D661B"/>
    <w:rsid w:val="003D7B0F"/>
    <w:rsid w:val="003E0104"/>
    <w:rsid w:val="003E1A53"/>
    <w:rsid w:val="003E25A9"/>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079C5"/>
    <w:rsid w:val="0041067A"/>
    <w:rsid w:val="00411AE7"/>
    <w:rsid w:val="00415569"/>
    <w:rsid w:val="004155C3"/>
    <w:rsid w:val="00416BC7"/>
    <w:rsid w:val="004173F5"/>
    <w:rsid w:val="00420527"/>
    <w:rsid w:val="004207B8"/>
    <w:rsid w:val="00420A01"/>
    <w:rsid w:val="004215F3"/>
    <w:rsid w:val="004228C6"/>
    <w:rsid w:val="00422FFA"/>
    <w:rsid w:val="00424E9D"/>
    <w:rsid w:val="00424F23"/>
    <w:rsid w:val="004251C5"/>
    <w:rsid w:val="00432BC4"/>
    <w:rsid w:val="00432BFD"/>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364F"/>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56ED9"/>
    <w:rsid w:val="00460DF1"/>
    <w:rsid w:val="00461152"/>
    <w:rsid w:val="0046143E"/>
    <w:rsid w:val="0046145E"/>
    <w:rsid w:val="00461DB5"/>
    <w:rsid w:val="00461F89"/>
    <w:rsid w:val="0046218E"/>
    <w:rsid w:val="0046380B"/>
    <w:rsid w:val="00464376"/>
    <w:rsid w:val="004659B9"/>
    <w:rsid w:val="00465D1A"/>
    <w:rsid w:val="00466482"/>
    <w:rsid w:val="004707E3"/>
    <w:rsid w:val="00472328"/>
    <w:rsid w:val="00472687"/>
    <w:rsid w:val="00472FA6"/>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0C13"/>
    <w:rsid w:val="004924FF"/>
    <w:rsid w:val="00492638"/>
    <w:rsid w:val="00492979"/>
    <w:rsid w:val="00492C7C"/>
    <w:rsid w:val="00493A98"/>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313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2B99"/>
    <w:rsid w:val="00503912"/>
    <w:rsid w:val="005042A0"/>
    <w:rsid w:val="005042C3"/>
    <w:rsid w:val="00504A4B"/>
    <w:rsid w:val="005114D6"/>
    <w:rsid w:val="005118D2"/>
    <w:rsid w:val="00511E2A"/>
    <w:rsid w:val="00511FF8"/>
    <w:rsid w:val="0051276A"/>
    <w:rsid w:val="00512C42"/>
    <w:rsid w:val="00514261"/>
    <w:rsid w:val="005148E1"/>
    <w:rsid w:val="005208E4"/>
    <w:rsid w:val="00525611"/>
    <w:rsid w:val="0052571F"/>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3A15"/>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6AFA"/>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E79ED"/>
    <w:rsid w:val="005F004D"/>
    <w:rsid w:val="005F02B6"/>
    <w:rsid w:val="005F139D"/>
    <w:rsid w:val="005F2CE0"/>
    <w:rsid w:val="005F2F77"/>
    <w:rsid w:val="005F3B75"/>
    <w:rsid w:val="005F41FD"/>
    <w:rsid w:val="005F5421"/>
    <w:rsid w:val="00601FF1"/>
    <w:rsid w:val="0060267D"/>
    <w:rsid w:val="0060460C"/>
    <w:rsid w:val="00605033"/>
    <w:rsid w:val="00606E1E"/>
    <w:rsid w:val="006074A2"/>
    <w:rsid w:val="00607AAB"/>
    <w:rsid w:val="00610F91"/>
    <w:rsid w:val="00611301"/>
    <w:rsid w:val="006121CD"/>
    <w:rsid w:val="00614DBD"/>
    <w:rsid w:val="00614E28"/>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24C0"/>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1E11"/>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11A"/>
    <w:rsid w:val="006B1FD2"/>
    <w:rsid w:val="006B3F94"/>
    <w:rsid w:val="006B4061"/>
    <w:rsid w:val="006B4235"/>
    <w:rsid w:val="006B4296"/>
    <w:rsid w:val="006B4A2B"/>
    <w:rsid w:val="006B545E"/>
    <w:rsid w:val="006B690F"/>
    <w:rsid w:val="006B7BA4"/>
    <w:rsid w:val="006C0FFA"/>
    <w:rsid w:val="006C204F"/>
    <w:rsid w:val="006C276F"/>
    <w:rsid w:val="006C2F22"/>
    <w:rsid w:val="006C503E"/>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0C4F"/>
    <w:rsid w:val="0070126D"/>
    <w:rsid w:val="0070154E"/>
    <w:rsid w:val="00701841"/>
    <w:rsid w:val="00702DB0"/>
    <w:rsid w:val="00703A4B"/>
    <w:rsid w:val="00704FD6"/>
    <w:rsid w:val="007055EF"/>
    <w:rsid w:val="007105DC"/>
    <w:rsid w:val="00710B94"/>
    <w:rsid w:val="00710E73"/>
    <w:rsid w:val="00713747"/>
    <w:rsid w:val="00714595"/>
    <w:rsid w:val="007147B9"/>
    <w:rsid w:val="00714979"/>
    <w:rsid w:val="007151C5"/>
    <w:rsid w:val="00715308"/>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5F96"/>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87308"/>
    <w:rsid w:val="0079183F"/>
    <w:rsid w:val="007918FC"/>
    <w:rsid w:val="00792541"/>
    <w:rsid w:val="00792593"/>
    <w:rsid w:val="00792884"/>
    <w:rsid w:val="00793CA1"/>
    <w:rsid w:val="00794ECF"/>
    <w:rsid w:val="00796529"/>
    <w:rsid w:val="007972C7"/>
    <w:rsid w:val="00797EC5"/>
    <w:rsid w:val="007A0A1C"/>
    <w:rsid w:val="007A0AFD"/>
    <w:rsid w:val="007A1591"/>
    <w:rsid w:val="007A1900"/>
    <w:rsid w:val="007A1989"/>
    <w:rsid w:val="007A1E8D"/>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1B0"/>
    <w:rsid w:val="007D444C"/>
    <w:rsid w:val="007D5690"/>
    <w:rsid w:val="007D5932"/>
    <w:rsid w:val="007D6002"/>
    <w:rsid w:val="007D690B"/>
    <w:rsid w:val="007D6969"/>
    <w:rsid w:val="007D745F"/>
    <w:rsid w:val="007D7C45"/>
    <w:rsid w:val="007E02C5"/>
    <w:rsid w:val="007E313E"/>
    <w:rsid w:val="007E396C"/>
    <w:rsid w:val="007E48DC"/>
    <w:rsid w:val="007E5452"/>
    <w:rsid w:val="007E54EC"/>
    <w:rsid w:val="007E61B1"/>
    <w:rsid w:val="007F31A8"/>
    <w:rsid w:val="007F4B72"/>
    <w:rsid w:val="007F5B63"/>
    <w:rsid w:val="007F6657"/>
    <w:rsid w:val="007F7899"/>
    <w:rsid w:val="007F79BD"/>
    <w:rsid w:val="007F7D1C"/>
    <w:rsid w:val="00800324"/>
    <w:rsid w:val="00802F3E"/>
    <w:rsid w:val="00803444"/>
    <w:rsid w:val="008035FF"/>
    <w:rsid w:val="008057BC"/>
    <w:rsid w:val="008060FB"/>
    <w:rsid w:val="00807CCE"/>
    <w:rsid w:val="00807F1B"/>
    <w:rsid w:val="00807F62"/>
    <w:rsid w:val="00810E5F"/>
    <w:rsid w:val="008114BC"/>
    <w:rsid w:val="0081298F"/>
    <w:rsid w:val="00813ECE"/>
    <w:rsid w:val="00815332"/>
    <w:rsid w:val="008157F1"/>
    <w:rsid w:val="008161F4"/>
    <w:rsid w:val="0081674A"/>
    <w:rsid w:val="008212E7"/>
    <w:rsid w:val="0082185C"/>
    <w:rsid w:val="00826A55"/>
    <w:rsid w:val="00827FA1"/>
    <w:rsid w:val="00834172"/>
    <w:rsid w:val="00834EC8"/>
    <w:rsid w:val="0083530B"/>
    <w:rsid w:val="008379CF"/>
    <w:rsid w:val="008402CA"/>
    <w:rsid w:val="00840AF9"/>
    <w:rsid w:val="00840D9C"/>
    <w:rsid w:val="008413D2"/>
    <w:rsid w:val="00841C1C"/>
    <w:rsid w:val="00841F59"/>
    <w:rsid w:val="0084273A"/>
    <w:rsid w:val="00843085"/>
    <w:rsid w:val="00845331"/>
    <w:rsid w:val="008478BC"/>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3B53"/>
    <w:rsid w:val="00874356"/>
    <w:rsid w:val="008754A2"/>
    <w:rsid w:val="0087571B"/>
    <w:rsid w:val="0087642B"/>
    <w:rsid w:val="00880F26"/>
    <w:rsid w:val="0088173A"/>
    <w:rsid w:val="0088212A"/>
    <w:rsid w:val="00883A00"/>
    <w:rsid w:val="00883C2D"/>
    <w:rsid w:val="00883F71"/>
    <w:rsid w:val="00885DE3"/>
    <w:rsid w:val="008863BB"/>
    <w:rsid w:val="008878A1"/>
    <w:rsid w:val="008878E4"/>
    <w:rsid w:val="00890530"/>
    <w:rsid w:val="008918CE"/>
    <w:rsid w:val="00891E8B"/>
    <w:rsid w:val="008934E8"/>
    <w:rsid w:val="008935E2"/>
    <w:rsid w:val="00895405"/>
    <w:rsid w:val="0089540F"/>
    <w:rsid w:val="008970EA"/>
    <w:rsid w:val="008979D8"/>
    <w:rsid w:val="00897C5C"/>
    <w:rsid w:val="008A1931"/>
    <w:rsid w:val="008A1B83"/>
    <w:rsid w:val="008A4956"/>
    <w:rsid w:val="008A4FD4"/>
    <w:rsid w:val="008A52AE"/>
    <w:rsid w:val="008A54DE"/>
    <w:rsid w:val="008A5DDF"/>
    <w:rsid w:val="008A609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2F87"/>
    <w:rsid w:val="008D356A"/>
    <w:rsid w:val="008D4696"/>
    <w:rsid w:val="008D690B"/>
    <w:rsid w:val="008D7585"/>
    <w:rsid w:val="008E3441"/>
    <w:rsid w:val="008E4827"/>
    <w:rsid w:val="008E4FEB"/>
    <w:rsid w:val="008E5E30"/>
    <w:rsid w:val="008E6DA1"/>
    <w:rsid w:val="008E6EE4"/>
    <w:rsid w:val="008E783A"/>
    <w:rsid w:val="008E7FCE"/>
    <w:rsid w:val="008F12B7"/>
    <w:rsid w:val="008F1EEB"/>
    <w:rsid w:val="008F3A12"/>
    <w:rsid w:val="008F42C1"/>
    <w:rsid w:val="008F4D0F"/>
    <w:rsid w:val="008F5DE2"/>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45F13"/>
    <w:rsid w:val="0095105E"/>
    <w:rsid w:val="009515DB"/>
    <w:rsid w:val="009532B7"/>
    <w:rsid w:val="00955CA7"/>
    <w:rsid w:val="00956874"/>
    <w:rsid w:val="00957216"/>
    <w:rsid w:val="00957EC3"/>
    <w:rsid w:val="00962E36"/>
    <w:rsid w:val="00962FED"/>
    <w:rsid w:val="00964038"/>
    <w:rsid w:val="009675C9"/>
    <w:rsid w:val="009675D8"/>
    <w:rsid w:val="00970387"/>
    <w:rsid w:val="0097144D"/>
    <w:rsid w:val="0097145B"/>
    <w:rsid w:val="0097328B"/>
    <w:rsid w:val="00973E57"/>
    <w:rsid w:val="00973F1C"/>
    <w:rsid w:val="00974736"/>
    <w:rsid w:val="00977E45"/>
    <w:rsid w:val="009828EE"/>
    <w:rsid w:val="00983819"/>
    <w:rsid w:val="00983E5F"/>
    <w:rsid w:val="00983EB8"/>
    <w:rsid w:val="009855E9"/>
    <w:rsid w:val="00985EE3"/>
    <w:rsid w:val="00986705"/>
    <w:rsid w:val="00986EE1"/>
    <w:rsid w:val="00987EA0"/>
    <w:rsid w:val="00992638"/>
    <w:rsid w:val="00994219"/>
    <w:rsid w:val="009953DF"/>
    <w:rsid w:val="0099565F"/>
    <w:rsid w:val="00995AB2"/>
    <w:rsid w:val="009966AA"/>
    <w:rsid w:val="0099725D"/>
    <w:rsid w:val="009A07A5"/>
    <w:rsid w:val="009A0D99"/>
    <w:rsid w:val="009A0EDF"/>
    <w:rsid w:val="009A1DC0"/>
    <w:rsid w:val="009A233C"/>
    <w:rsid w:val="009B05BA"/>
    <w:rsid w:val="009B1B1B"/>
    <w:rsid w:val="009B30E1"/>
    <w:rsid w:val="009B469F"/>
    <w:rsid w:val="009B4A82"/>
    <w:rsid w:val="009B4E90"/>
    <w:rsid w:val="009B5F1E"/>
    <w:rsid w:val="009B6296"/>
    <w:rsid w:val="009C0E30"/>
    <w:rsid w:val="009C1096"/>
    <w:rsid w:val="009C15EA"/>
    <w:rsid w:val="009C18D2"/>
    <w:rsid w:val="009C1DDA"/>
    <w:rsid w:val="009C1F79"/>
    <w:rsid w:val="009C2602"/>
    <w:rsid w:val="009C2771"/>
    <w:rsid w:val="009C29C5"/>
    <w:rsid w:val="009C3CF2"/>
    <w:rsid w:val="009C3F5E"/>
    <w:rsid w:val="009C42FD"/>
    <w:rsid w:val="009C48B2"/>
    <w:rsid w:val="009D0467"/>
    <w:rsid w:val="009D0F71"/>
    <w:rsid w:val="009D26FA"/>
    <w:rsid w:val="009D2771"/>
    <w:rsid w:val="009D40DE"/>
    <w:rsid w:val="009D48DE"/>
    <w:rsid w:val="009D4DBE"/>
    <w:rsid w:val="009D6195"/>
    <w:rsid w:val="009D7F82"/>
    <w:rsid w:val="009E2006"/>
    <w:rsid w:val="009E2F3B"/>
    <w:rsid w:val="009E34A8"/>
    <w:rsid w:val="009E3F40"/>
    <w:rsid w:val="009E4129"/>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4B4C"/>
    <w:rsid w:val="00A2567D"/>
    <w:rsid w:val="00A2713E"/>
    <w:rsid w:val="00A27160"/>
    <w:rsid w:val="00A300F8"/>
    <w:rsid w:val="00A3033B"/>
    <w:rsid w:val="00A310A4"/>
    <w:rsid w:val="00A3187D"/>
    <w:rsid w:val="00A33915"/>
    <w:rsid w:val="00A34269"/>
    <w:rsid w:val="00A34AC7"/>
    <w:rsid w:val="00A356D5"/>
    <w:rsid w:val="00A36773"/>
    <w:rsid w:val="00A36A04"/>
    <w:rsid w:val="00A40320"/>
    <w:rsid w:val="00A40D17"/>
    <w:rsid w:val="00A413AB"/>
    <w:rsid w:val="00A43F8F"/>
    <w:rsid w:val="00A477BF"/>
    <w:rsid w:val="00A479D9"/>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09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3974"/>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3D43"/>
    <w:rsid w:val="00AF43EA"/>
    <w:rsid w:val="00AF5381"/>
    <w:rsid w:val="00AF5F21"/>
    <w:rsid w:val="00AF765B"/>
    <w:rsid w:val="00B00A68"/>
    <w:rsid w:val="00B0106B"/>
    <w:rsid w:val="00B0117C"/>
    <w:rsid w:val="00B0248C"/>
    <w:rsid w:val="00B026DA"/>
    <w:rsid w:val="00B02D4D"/>
    <w:rsid w:val="00B03069"/>
    <w:rsid w:val="00B03721"/>
    <w:rsid w:val="00B04130"/>
    <w:rsid w:val="00B07018"/>
    <w:rsid w:val="00B0775D"/>
    <w:rsid w:val="00B107B2"/>
    <w:rsid w:val="00B11F90"/>
    <w:rsid w:val="00B12B22"/>
    <w:rsid w:val="00B14678"/>
    <w:rsid w:val="00B1732A"/>
    <w:rsid w:val="00B201EF"/>
    <w:rsid w:val="00B22144"/>
    <w:rsid w:val="00B227EC"/>
    <w:rsid w:val="00B237F3"/>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471DF"/>
    <w:rsid w:val="00B51738"/>
    <w:rsid w:val="00B526A7"/>
    <w:rsid w:val="00B54C15"/>
    <w:rsid w:val="00B5617D"/>
    <w:rsid w:val="00B57F40"/>
    <w:rsid w:val="00B602FA"/>
    <w:rsid w:val="00B603B3"/>
    <w:rsid w:val="00B61C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86599"/>
    <w:rsid w:val="00B87C66"/>
    <w:rsid w:val="00B92B36"/>
    <w:rsid w:val="00B92D63"/>
    <w:rsid w:val="00B932A6"/>
    <w:rsid w:val="00B93EF2"/>
    <w:rsid w:val="00BA0E92"/>
    <w:rsid w:val="00BA23CC"/>
    <w:rsid w:val="00BA296F"/>
    <w:rsid w:val="00BA3AA6"/>
    <w:rsid w:val="00BA4D34"/>
    <w:rsid w:val="00BA542D"/>
    <w:rsid w:val="00BA5D29"/>
    <w:rsid w:val="00BA763B"/>
    <w:rsid w:val="00BA781C"/>
    <w:rsid w:val="00BA7A1C"/>
    <w:rsid w:val="00BB222B"/>
    <w:rsid w:val="00BB2528"/>
    <w:rsid w:val="00BB29DE"/>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184C"/>
    <w:rsid w:val="00BE3EC0"/>
    <w:rsid w:val="00BE6851"/>
    <w:rsid w:val="00BE6A4A"/>
    <w:rsid w:val="00BF03EB"/>
    <w:rsid w:val="00BF22D3"/>
    <w:rsid w:val="00BF354B"/>
    <w:rsid w:val="00BF35EF"/>
    <w:rsid w:val="00BF457D"/>
    <w:rsid w:val="00BF4D44"/>
    <w:rsid w:val="00BF66CD"/>
    <w:rsid w:val="00BF6EA7"/>
    <w:rsid w:val="00BF7A5C"/>
    <w:rsid w:val="00C00933"/>
    <w:rsid w:val="00C01804"/>
    <w:rsid w:val="00C01903"/>
    <w:rsid w:val="00C01B81"/>
    <w:rsid w:val="00C02743"/>
    <w:rsid w:val="00C0395A"/>
    <w:rsid w:val="00C0396A"/>
    <w:rsid w:val="00C04575"/>
    <w:rsid w:val="00C04A8C"/>
    <w:rsid w:val="00C053DC"/>
    <w:rsid w:val="00C05EEF"/>
    <w:rsid w:val="00C06049"/>
    <w:rsid w:val="00C07711"/>
    <w:rsid w:val="00C11708"/>
    <w:rsid w:val="00C1189F"/>
    <w:rsid w:val="00C122C5"/>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749"/>
    <w:rsid w:val="00C43E4E"/>
    <w:rsid w:val="00C4410E"/>
    <w:rsid w:val="00C4468A"/>
    <w:rsid w:val="00C462A2"/>
    <w:rsid w:val="00C475D5"/>
    <w:rsid w:val="00C47FE5"/>
    <w:rsid w:val="00C51161"/>
    <w:rsid w:val="00C51EFB"/>
    <w:rsid w:val="00C52665"/>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77D8E"/>
    <w:rsid w:val="00C803FF"/>
    <w:rsid w:val="00C81AAC"/>
    <w:rsid w:val="00C82837"/>
    <w:rsid w:val="00C83E02"/>
    <w:rsid w:val="00C83F4E"/>
    <w:rsid w:val="00C8471B"/>
    <w:rsid w:val="00C84B7E"/>
    <w:rsid w:val="00C85DDE"/>
    <w:rsid w:val="00C86A3A"/>
    <w:rsid w:val="00C872F2"/>
    <w:rsid w:val="00C87546"/>
    <w:rsid w:val="00C90F49"/>
    <w:rsid w:val="00C91A2A"/>
    <w:rsid w:val="00C9409D"/>
    <w:rsid w:val="00C94895"/>
    <w:rsid w:val="00C94C90"/>
    <w:rsid w:val="00C96A8C"/>
    <w:rsid w:val="00C970AC"/>
    <w:rsid w:val="00CA06D8"/>
    <w:rsid w:val="00CA0C31"/>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5C2"/>
    <w:rsid w:val="00CD39AA"/>
    <w:rsid w:val="00CD43CF"/>
    <w:rsid w:val="00CD5AEF"/>
    <w:rsid w:val="00CD5E85"/>
    <w:rsid w:val="00CD7B2F"/>
    <w:rsid w:val="00CE0A58"/>
    <w:rsid w:val="00CE12FB"/>
    <w:rsid w:val="00CE3D72"/>
    <w:rsid w:val="00CE5D8E"/>
    <w:rsid w:val="00CE76B6"/>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3DA3"/>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10F"/>
    <w:rsid w:val="00D8245B"/>
    <w:rsid w:val="00D84133"/>
    <w:rsid w:val="00D84B94"/>
    <w:rsid w:val="00D86F94"/>
    <w:rsid w:val="00D876E4"/>
    <w:rsid w:val="00D9214A"/>
    <w:rsid w:val="00D92DF9"/>
    <w:rsid w:val="00D9395E"/>
    <w:rsid w:val="00D951E4"/>
    <w:rsid w:val="00D96228"/>
    <w:rsid w:val="00D968F8"/>
    <w:rsid w:val="00DA1365"/>
    <w:rsid w:val="00DA19B9"/>
    <w:rsid w:val="00DA20E9"/>
    <w:rsid w:val="00DA215D"/>
    <w:rsid w:val="00DA30F4"/>
    <w:rsid w:val="00DA3681"/>
    <w:rsid w:val="00DA6889"/>
    <w:rsid w:val="00DA6A37"/>
    <w:rsid w:val="00DB1335"/>
    <w:rsid w:val="00DB1E37"/>
    <w:rsid w:val="00DB2255"/>
    <w:rsid w:val="00DB27BA"/>
    <w:rsid w:val="00DB2A24"/>
    <w:rsid w:val="00DB2CD1"/>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01CB"/>
    <w:rsid w:val="00DD2AE3"/>
    <w:rsid w:val="00DD3080"/>
    <w:rsid w:val="00DD3DBF"/>
    <w:rsid w:val="00DD449D"/>
    <w:rsid w:val="00DD65BB"/>
    <w:rsid w:val="00DD755C"/>
    <w:rsid w:val="00DE0677"/>
    <w:rsid w:val="00DE0959"/>
    <w:rsid w:val="00DE1BE4"/>
    <w:rsid w:val="00DE278D"/>
    <w:rsid w:val="00DE4103"/>
    <w:rsid w:val="00DE610F"/>
    <w:rsid w:val="00DE633C"/>
    <w:rsid w:val="00DE6526"/>
    <w:rsid w:val="00DE69CD"/>
    <w:rsid w:val="00DE779F"/>
    <w:rsid w:val="00DE7B4F"/>
    <w:rsid w:val="00DF2DB5"/>
    <w:rsid w:val="00DF3759"/>
    <w:rsid w:val="00DF670C"/>
    <w:rsid w:val="00DF6A15"/>
    <w:rsid w:val="00DF7A66"/>
    <w:rsid w:val="00E007AA"/>
    <w:rsid w:val="00E0116C"/>
    <w:rsid w:val="00E01B06"/>
    <w:rsid w:val="00E01D50"/>
    <w:rsid w:val="00E01D85"/>
    <w:rsid w:val="00E02DAB"/>
    <w:rsid w:val="00E02F85"/>
    <w:rsid w:val="00E051DE"/>
    <w:rsid w:val="00E0693F"/>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689"/>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023"/>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6533"/>
    <w:rsid w:val="00EA7094"/>
    <w:rsid w:val="00EA7D3C"/>
    <w:rsid w:val="00EA7F01"/>
    <w:rsid w:val="00EB0F0C"/>
    <w:rsid w:val="00EB220D"/>
    <w:rsid w:val="00EB2B36"/>
    <w:rsid w:val="00EB3EAE"/>
    <w:rsid w:val="00EB5179"/>
    <w:rsid w:val="00EB5AFD"/>
    <w:rsid w:val="00EB65B1"/>
    <w:rsid w:val="00EB693A"/>
    <w:rsid w:val="00EB76DC"/>
    <w:rsid w:val="00EC01DD"/>
    <w:rsid w:val="00EC0877"/>
    <w:rsid w:val="00EC0C36"/>
    <w:rsid w:val="00EC2A06"/>
    <w:rsid w:val="00EC42F7"/>
    <w:rsid w:val="00EC6E47"/>
    <w:rsid w:val="00EC6E72"/>
    <w:rsid w:val="00ED0FA3"/>
    <w:rsid w:val="00ED236D"/>
    <w:rsid w:val="00ED23A6"/>
    <w:rsid w:val="00ED3CCA"/>
    <w:rsid w:val="00ED3EB1"/>
    <w:rsid w:val="00ED47A6"/>
    <w:rsid w:val="00ED5020"/>
    <w:rsid w:val="00ED5C90"/>
    <w:rsid w:val="00ED7BFE"/>
    <w:rsid w:val="00EE2C52"/>
    <w:rsid w:val="00EE3D09"/>
    <w:rsid w:val="00EE418F"/>
    <w:rsid w:val="00EE4B6E"/>
    <w:rsid w:val="00EE4DA7"/>
    <w:rsid w:val="00EE50F0"/>
    <w:rsid w:val="00EF01BE"/>
    <w:rsid w:val="00EF126F"/>
    <w:rsid w:val="00EF202E"/>
    <w:rsid w:val="00EF2E09"/>
    <w:rsid w:val="00EF4D6A"/>
    <w:rsid w:val="00EF5252"/>
    <w:rsid w:val="00EF536E"/>
    <w:rsid w:val="00EF72B2"/>
    <w:rsid w:val="00EF74A0"/>
    <w:rsid w:val="00F01B3F"/>
    <w:rsid w:val="00F022E8"/>
    <w:rsid w:val="00F02B6C"/>
    <w:rsid w:val="00F0356B"/>
    <w:rsid w:val="00F037A8"/>
    <w:rsid w:val="00F04A3D"/>
    <w:rsid w:val="00F04B4E"/>
    <w:rsid w:val="00F05C05"/>
    <w:rsid w:val="00F06353"/>
    <w:rsid w:val="00F06478"/>
    <w:rsid w:val="00F07DC4"/>
    <w:rsid w:val="00F112F0"/>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B2F"/>
    <w:rsid w:val="00F46F85"/>
    <w:rsid w:val="00F50431"/>
    <w:rsid w:val="00F50E96"/>
    <w:rsid w:val="00F52E77"/>
    <w:rsid w:val="00F54C56"/>
    <w:rsid w:val="00F55691"/>
    <w:rsid w:val="00F5578B"/>
    <w:rsid w:val="00F56811"/>
    <w:rsid w:val="00F57B30"/>
    <w:rsid w:val="00F61249"/>
    <w:rsid w:val="00F61D4C"/>
    <w:rsid w:val="00F61E68"/>
    <w:rsid w:val="00F667A8"/>
    <w:rsid w:val="00F702F4"/>
    <w:rsid w:val="00F7052D"/>
    <w:rsid w:val="00F7122A"/>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2EEC"/>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0DD3"/>
    <w:rsid w:val="00FD23C3"/>
    <w:rsid w:val="00FD31E9"/>
    <w:rsid w:val="00FD5CEC"/>
    <w:rsid w:val="00FD76F7"/>
    <w:rsid w:val="00FD7AC3"/>
    <w:rsid w:val="00FE1040"/>
    <w:rsid w:val="00FE15EC"/>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ED7BFE"/>
    <w:pPr>
      <w:spacing w:before="80" w:after="80"/>
    </w:pPr>
    <w:rPr>
      <w:rFonts w:ascii="Arial" w:hAnsi="Arial"/>
      <w:b/>
      <w:caps/>
      <w:color w:val="000000"/>
    </w:rPr>
  </w:style>
  <w:style w:type="paragraph" w:customStyle="1" w:styleId="RABottomText">
    <w:name w:val="RABottomText"/>
    <w:basedOn w:val="Heading1"/>
    <w:rsid w:val="006324C0"/>
    <w:pPr>
      <w:tabs>
        <w:tab w:val="left" w:pos="720"/>
      </w:tabs>
      <w:spacing w:before="160" w:after="0"/>
    </w:pPr>
    <w:rPr>
      <w:rFonts w:cs="Times New Roman"/>
      <w:bCs w:val="0"/>
      <w:i/>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 w:type="paragraph" w:styleId="Revision">
    <w:name w:val="Revision"/>
    <w:hidden/>
    <w:uiPriority w:val="99"/>
    <w:semiHidden/>
    <w:rsid w:val="00F6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2768729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0039432">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095978194">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22221227">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804273553">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15590021">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B70C-F7F9-4A7D-818B-BD72146F26FF}">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8e69ce0d-1efe-43da-bb4e-b658dcfa5055"/>
    <ds:schemaRef ds:uri="http://purl.org/dc/elements/1.1/"/>
    <ds:schemaRef ds:uri="http://purl.org/dc/dcmitype/"/>
    <ds:schemaRef ds:uri="http://schemas.microsoft.com/office/infopath/2007/PartnerControls"/>
    <ds:schemaRef ds:uri="459a5397-efc8-4db4-9665-6751e9557ed9"/>
    <ds:schemaRef ds:uri="http://purl.org/dc/terms/"/>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2</Pages>
  <Words>739</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Messages for Remittance Advices dated July 31, 2025</vt:lpstr>
    </vt:vector>
  </TitlesOfParts>
  <Company/>
  <LinksUpToDate>false</LinksUpToDate>
  <CharactersWithSpaces>5067</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July 31, 2025</dc:title>
  <dc:subject/>
  <dc:creator/>
  <cp:keywords/>
  <dc:description/>
  <cp:lastModifiedBy/>
  <cp:revision>1</cp:revision>
  <dcterms:created xsi:type="dcterms:W3CDTF">2025-07-30T16:40:00Z</dcterms:created>
  <dcterms:modified xsi:type="dcterms:W3CDTF">2025-07-31T16:55:00Z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